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26" w:rsidRPr="007B7726" w:rsidRDefault="007B7726" w:rsidP="007B7726">
      <w:pPr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Toc259134871"/>
      <w:bookmarkStart w:id="1" w:name="_GoBack"/>
      <w:bookmarkEnd w:id="1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УДК 621.7</w:t>
      </w:r>
      <w:bookmarkEnd w:id="0"/>
    </w:p>
    <w:p w:rsidR="007B7726" w:rsidRPr="007B7726" w:rsidRDefault="007B7726" w:rsidP="007B772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требований к программно-техническим средствам</w:t>
      </w:r>
    </w:p>
    <w:p w:rsidR="007B7726" w:rsidRPr="007B7726" w:rsidRDefault="007B7726" w:rsidP="007B77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информационно-телеметрических систем</w:t>
      </w:r>
    </w:p>
    <w:p w:rsidR="007B7726" w:rsidRPr="007B7726" w:rsidRDefault="007B7726" w:rsidP="007B77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Т.С. </w:t>
      </w:r>
      <w:proofErr w:type="spellStart"/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Аббасова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, к.т.н. доцент,</w:t>
      </w:r>
    </w:p>
    <w:p w:rsidR="007B7726" w:rsidRPr="007B7726" w:rsidRDefault="007B7726" w:rsidP="007B77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А.П. Мороз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, д.т.н. профессор,</w:t>
      </w:r>
    </w:p>
    <w:p w:rsidR="007B7726" w:rsidRPr="007B7726" w:rsidRDefault="007B7726" w:rsidP="007B77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И.М. </w:t>
      </w:r>
      <w:proofErr w:type="spellStart"/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Белюченко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, д.т.н. профессор,</w:t>
      </w:r>
    </w:p>
    <w:p w:rsidR="007B7726" w:rsidRPr="007B7726" w:rsidRDefault="007B7726" w:rsidP="007B77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Ю.В. </w:t>
      </w:r>
      <w:proofErr w:type="spellStart"/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Стреналюк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, д.т.н. профессор,</w:t>
      </w:r>
    </w:p>
    <w:p w:rsidR="007B7726" w:rsidRPr="007B7726" w:rsidRDefault="007B7726" w:rsidP="007B77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 бюджетное образовательное учреждение</w:t>
      </w:r>
    </w:p>
    <w:p w:rsidR="007B7726" w:rsidRPr="007B7726" w:rsidRDefault="007B7726" w:rsidP="007B77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 Московской области</w:t>
      </w:r>
    </w:p>
    <w:p w:rsidR="007B7726" w:rsidRPr="007B7726" w:rsidRDefault="007B7726" w:rsidP="007B772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«Технологический университет», г. Королев, Московская область</w:t>
      </w:r>
    </w:p>
    <w:p w:rsidR="007B7726" w:rsidRPr="007B7726" w:rsidRDefault="007B7726" w:rsidP="007B77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Проведена классификация компонентов информационно-телеметрических систем. Определены единые базовые специальные программные компоненты для устройств информационно-телеметрического обеспечения технологий дистанционного зондирования Земли. Проанализированы принципы работы наземного комплекса управления и организация информационного обмена между наземным комплексом управления и другими компонентами наземной космической инфраструктуры. На основе проведенного анализа даны рекомендации по организации работы служб центра управления полетом.</w:t>
      </w:r>
    </w:p>
    <w:p w:rsidR="007B7726" w:rsidRPr="007B7726" w:rsidRDefault="007B7726" w:rsidP="007B77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Система управления, база данных, отображение и документирование, коммуникационная система.</w:t>
      </w:r>
    </w:p>
    <w:p w:rsidR="007B7726" w:rsidRPr="007B7726" w:rsidRDefault="007B7726" w:rsidP="007B77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The development of requirements for software and hardware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B77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information</w:t>
      </w:r>
      <w:proofErr w:type="gramEnd"/>
      <w:r w:rsidRPr="007B77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and telemetry systems</w:t>
      </w:r>
    </w:p>
    <w:p w:rsidR="007B7726" w:rsidRPr="007B7726" w:rsidRDefault="007B7726" w:rsidP="007B77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T.S. </w:t>
      </w:r>
      <w:proofErr w:type="spellStart"/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Abbasova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, Ph.D. assistant professor,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.</w:t>
      </w: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. </w:t>
      </w:r>
      <w:proofErr w:type="spellStart"/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Moroz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, Ph.D. Professor,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I.M. </w:t>
      </w:r>
      <w:proofErr w:type="spellStart"/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Belyuchenko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, Ph.D. Professor,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Yu.V</w:t>
      </w:r>
      <w:proofErr w:type="spellEnd"/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.</w:t>
      </w: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7B772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Strenalyuk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, Ph.D. Professor,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State Educational Institution of Higher Education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Moscow Region «University of technology»,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Korolev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, Moscow region</w:t>
      </w:r>
    </w:p>
    <w:p w:rsidR="007B7726" w:rsidRPr="007B7726" w:rsidRDefault="007B7726" w:rsidP="007B77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B772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The classification of the components of information and telemetry systems.</w:t>
      </w:r>
      <w:proofErr w:type="gramEnd"/>
      <w:r w:rsidRPr="007B772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Identify </w:t>
      </w:r>
      <w:proofErr w:type="gramStart"/>
      <w:r w:rsidRPr="007B772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a single specific basic software components</w:t>
      </w:r>
      <w:proofErr w:type="gramEnd"/>
      <w:r w:rsidRPr="007B772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for providing information and telemetry technologies for remote sensing devices. </w:t>
      </w:r>
      <w:proofErr w:type="gramStart"/>
      <w:r w:rsidRPr="007B772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Analyzed the principles of ground control and organization of information exchange between ground control and other components of space infrastructure.</w:t>
      </w:r>
      <w:proofErr w:type="gramEnd"/>
      <w:r w:rsidRPr="007B772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</w:t>
      </w:r>
      <w:proofErr w:type="gramStart"/>
      <w:r w:rsidRPr="007B7726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Based on the analysis recommendations on the organization of the center flight control services.</w:t>
      </w:r>
      <w:proofErr w:type="gramEnd"/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7B7726" w:rsidRPr="007B7726" w:rsidRDefault="007B7726" w:rsidP="007B7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Management system, database, mapping and documentation, communication system.</w:t>
      </w:r>
      <w:proofErr w:type="gramEnd"/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Информационно-телеметрические системы осуществляют прием и обработку телеметрической информации и включают приемо-передающее и вспомогательное оборудование (имитаторы сигналов, конверторы,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нормализаторы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сигналов, антенные устройства), а также кабельные сети. На подвижных объектах (ракетах, космических аппаратах) телеметрическое оборудование применяется для наблюдения за процессом ракетного запуска, для получения информации о параметрах внешней среды (температуры, ускорений, вибраций), об энергоснабжении и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энергозатратах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, о точном выравнивании антенны и времени распространения сигнала на длинных дистанциях (при космическом полёте). Для эффективной передачи, хранения и защиты телеметрических данных актуальна  разработка требований к программно-техническим средствам современных информационно-телеметрических систем на базе вычислительной техники [1...5].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Разработка требований к специальному программному обеспечению информационно-телеметрических систем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Компоненты информационно-телеметрических систем по выполняемым функциям можно разделить на пять основных групп: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«Система управления информационно-вычислительным процессом» (СУ ИВП) – предназначена для организации решения задач информационно-вычислительного комплекса (ИВК) центра управления полетом (ЦУП) с учетом временных ресурсных и технологических ограничений, требований по надежности, оперативности и достоверности обработки информации.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Компонент «база данных» – предназначен для создания, ведения и использования БД.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«Система отображения и документирования» – предназначена для обеспечения доступа оператора к ресурсам ИВК ЦУП.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«Коммуникационная система» – предназначена для обмена информацией между системами ИВК и внешними абонентами.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5)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«Система администрирования» – предназначена для интеграции разрабатываемых компонент в систему администрирования, поддерживаемую операционную систему (ОС).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Решение задач управления космическим аппаратом (КА) дистанционного зондирования Земли (ДЗЗ) предполагает выполнение полного комплекса технологических операций по сбору и обработке информационных потоков, расчету и формированию данных для осуществления: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долгосрочного и оперативного планирования работы с КА, задействования средств НКУ и других средств контура управления;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подготовки к выдаче на борт КА командно-программной информации для управления работой бортовых систем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контроля, анализа, диагностики и обобщения информации о состоянии бортовых систем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навигационно-баллистического обеспечения управления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обмена информацией со средствами наземного комплекса управления (НКУ), наземного комплекса обработки (НКО), организациями и комплексами, участвующими в управлении полетом.</w:t>
      </w:r>
    </w:p>
    <w:p w:rsidR="007B7726" w:rsidRPr="007B7726" w:rsidRDefault="007B7726" w:rsidP="007B7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Типовая схема наземной космической инфраструктуры приведена на рисунке 1.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1 – Типовая схема наземной космической инфраструктуры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 НКУ и НКО для соединения рабочих станций сотрудников используются каналы связи, у которых требования к пропускной способности не превышает 100 Мбит/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, поэтому 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качестве среды передачи используется неэкранированные кабели UTP 6-ой категории (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патч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-корды), экранированные кабели STP 7-ой категории (каналы связи до коммутаторов, которые объединяют подсети). Между коммутаторами и для соединения с серверами используется оптоволоконными кабели.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Специальное программное обеспечение (СПО), реализующее перечисленные операции, должно функционировать в рамках основных подсистем: информационно-телеметрического, командно-программного, навигационно-баллистического обеспечения и подсистемы связи и передачи данных.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Подсистема навигационно-баллистического обеспечения должна строиться таким образом, чтобы решать широкий класс задач и реализовывать технологии наземного базирования объекта (НБО). Одновременно, закладываемые в СПО подсистемы НБО принципы должны обеспечивать масштабируемость программного комплекса для наращивания функциональных возможностей и повышения точности расчетов, а также решать задачи научно-прикладного характера и моделирования перспективных технологий НБО.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Основу подсистемы должны составлять единые базовые специальные программные компоненты, реализующие: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унифицированную математическую модель движения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расчет аналогов навигационных измерений;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расчет данных Астрономического Ежегодника;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преобразование систем координат;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преобразование временных параметров в специальные форматы и системы отсчета;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специальные математические вычисления, включая операции линейной алгебры;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организацию стандартных вычислительных процессов НБО, интерактивное задание типовых исходных данных, управление документированием результатов счета и др.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Базовые специальные программные компоненты должны строиться исходя из принципов унификации, что позволит реализовать широкий класс технологий НБО и обеспечит расширение функциональных возможностей программного обеспечения при эволюции ЦУП.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Информационно-телеметрическая подсистема СПО ЦУП должна обеспечивать возможность в полном объеме осуществлять комплекс технологических операций контроля, анализа и диагностики и обобщения информации о состоянии бортовых систем и КА в целом при летных испытаниях, штатной эксплуатации и нештатных ситуациях. В рамках информационно-телеметрической подсистемы решаются задачи предварительной и первичной автоматизированной обработки контрольной информации, поступающей с КА, хранения, отображения и документирования результатов обработки контрольной информации в интересах расчета исходных данных для управления КА, прогнозирования работы бортовых систем, анализа нештатных ситуаций, возникающих на борту КА и выработки рекомендаций по выходу из них.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Оперативные программные компоненты информационно-телеметрической подсистемы должны обеспечивать обработку телеметрической информации близко к реальному времени поступления информации в ЦУП. Одновременно в составе СПО должны быть хорошо развиты программные компоненты для детального апостериорного анализа контрольных параметров.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Базовым средством информационно-телеметрической подсистемы является комплекс программных компонент, обеспечивающих предварительную, первичную и вторичную обработку телеметрической информации (ТМИ). В процессе предварительной обработки должно осуществляться устранение функциональной избыточности и повышение достоверности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датчиковой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информации и привязка ее ко времени, формирование массивов цифровой информации (МЦИ), устранение аппаратной избыточности МЦИ.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Для обеспечения работы базовых программных компонент разрабатываются программные средства информационной группы, обеспечивающие их настройку и функционирование, а также программные компоненты для подготовки исходных данных на обработку, отображение, документирование и хранение информации.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Базовым компонентом информационно-телеметрической подсистемы СПО ЦУП, 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обеспечивающем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апостериорный анализ контрольных параметров, является архивно-диалоговая система. В ее функции входит накопление, систематизация,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каталогизирование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, хранение текущей и справочной информации по КА, формирование текущей и интервальной оценки качества ТМИ, документирование ТМИ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В составе информационно-телеметрической подсистемы должны быть разработаны компоненты, обеспечивающие анализ нештатных ситуаций, возникающих на борту КА, диагностику неисправностей КА с выдачей рекомендаций по восстановлению его нормального функционирования. В том числе должны быть созданы 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программные компоненты, обеспечивающие нестандартную обработку ТМИ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специально разрабатываемым алгоритмам.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Подсистема командно-программного обеспечения СПО ЦУП</w:t>
      </w:r>
      <w:r w:rsidRPr="007B77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должна обеспечивать непосредственное управление КА и средствами НКУ. В составе подсистемы должны быть разработаны следующие программные компоненты: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комплекс программ долгосрочного и оперативного планирования работ с группировкой КА и отдельными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программные средства формирования и корректировки планов сеансов связи с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программные средства для формирования и корректировки данных, необходимых для проведения сеансов связи с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программные средства долгосрочного и оперативного планирования работы средств НКУ;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программные средства расчета, формирования и оперативной коррекции технологического графика управления;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расчета числовой информации для бортовых систем КА с целью формирования программы работ бортовой аппаратуры, коррекции бортовой шкалы времени,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фазирования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подстройки бортового синхронизирующего устройства;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программный компонент формирования массивов командно-программной информации;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программы формирования и выдачи на борт КА через контрольно-измерительную станцию (КИС) команд и программ управления, контроля исполнения команд управления, защиты от несанкционированной выдачи командно-программной информации на борт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программные средства расчета и отображения планируемой временной диаграммы полета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программные средства, обеспечивающие контроль выполнения технологических операций, включенных в программу работ на заданном временном интервале.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архивно-диалоговые информационные компоненты, обеспечивающие отображение и документирование информации из архива.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Подсистема обмена информацией со средствами НКУ, организациями и комплексами, участвующими в управлении полетом КА разрабатывается со стороны ЦУП на базе готовых схемотехнических решений, представляемых общесистемными компонентами программного обеспечения ЦУП. Развитие программного обеспечения должно идти эволюционно, по мере появления в контуре новых внешних абонентов.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Вспомогательные подсистемы</w:t>
      </w:r>
      <w:r w:rsidRPr="007B77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СПО ЦУП, предназначенные для автоматизации деятельности персонала и служб ЦУП, могут быть по составу разбиты на следующие группы: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комплекс программ управления персоналом (учет кадров, планирование состава дежурных смен и др.);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информационно-справочная подсистема, обеспечивающая процесс принятия решений;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система управления документооборотом, обеспечивающая учет, регистрацию, хранение и контроль исполнения документов.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Реализация вспомогательных информационно-телеметрических систем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Реализация вспомогательных систем должна производиться параллельно созданию основных подсистем СПО ЦУП.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В состав НКУ входят наземные станции командно-измерительных и измерительных систем. 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Эффективное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управления разнотипными станциями возможно только при наличии развитого программного обеспечения средств ЦУП.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Программное обеспечение ЦУП, используемое для управления средствами НКУ выполняет следующие функциональные задачи: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планирование работы средств НКУ, в соответствии с технологическим циклом управления КА;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обеспечение взаимодействия по сетевому протоколу между средствами ЦУП и станциями НКУ;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формирование и выдача КУ;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контроль состояния станции НКУ;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мониторинг состояния станции НКУ по информации функционального контроля.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Поскольку большинство станций НКУ являются не обслуживаемыми, на оператора ЦУП ложится дополнительная нагрузка для поддержания НКУ в работоспособном состоянии.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Общая задача дистанционного контроля и управления станциями НКУ может быть декомпозирована на следующие составные части: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постоянный обобщенный контроль состояния всех наземных станций и отображение сводных сведений 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их состоянии в виде укрупненной мнемосхемы на терминале Сервера отображения и документирования (на этом же терминале отображается также обобщенное состояние всех КА, и также плановая информация).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полный постоянный контроль состояния и конфигурации любой подсистемы приема ТМИ, а так же дистанционное управление ею с пульта рабочей станции обработки ТМИ из состава АРМ управления;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полный контроль состояния и конфигурации любой станции КИС, а также дистанционное управление ею в ходе сеанса управления КА с пульта рабочей станции управления из состава АРМ управления;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прием, обработка, хранение и отображение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послесеансной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отчетной информации, поступающей по запросу ЦУП со станций НКУ;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предоставление оператору ЦУП различных отчетных форм по работе станций НКУ.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Технология дистанционного контроля и управления станциями НКУ с использованием аппаратно-программного комплекса ЦУП проиллюстрирована на рисунке 2.</w:t>
      </w:r>
    </w:p>
    <w:p w:rsidR="007B7726" w:rsidRPr="007B7726" w:rsidRDefault="007B7726" w:rsidP="007B7726">
      <w:pPr>
        <w:spacing w:before="100" w:beforeAutospacing="1" w:after="100" w:afterAutospacing="1" w:line="240" w:lineRule="auto"/>
        <w:ind w:left="150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Принцип работы можно разделить на следующие этапы: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На Сервере отображения и документирования загружается задача обобщенного контроля состояния всех наземных станций КИС. На его терминале в виде укрупненной мнемосхемы представляется состояние всех КА и станций, а также сведения о запланированных на ближайшее время сеансах управления. Обеспечиваются визуальная и звуковая сигнализация при обнаружении нештатной ситуации на любом КА или станции, а также оповещение оператора 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 приближении запланированного сеанса управления. Эта же информация может отображаться и на табло коллективного пользования.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На любой рабочей станции обработки ТМИ из состава любого из трех АРМ управления 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загружается задача обработки потока ТМИ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информации функционального контроля с одной наземной станции. Помимо отображения ТМИ КА, на терминале этой рабочей станции в алфавитно-цифровом и графическом виде представляется также техническое состояние и комплектация аппаратуры соответствующей станции. Представляются средства управления режимами и конфигурацией технических сре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дств ст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анции. Статистика по эксплуатации станций помещается в Базу данных ЦУП.</w:t>
      </w:r>
    </w:p>
    <w:p w:rsidR="007B7726" w:rsidRPr="007B7726" w:rsidRDefault="007B7726" w:rsidP="007B772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" w:name="_Ref259132275"/>
      <w:r w:rsidRPr="007B77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</w:t>
      </w:r>
      <w:bookmarkEnd w:id="2"/>
      <w:r w:rsidRPr="007B77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2 – Схема дистанционного контроля и управления станциями НКУ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В ходе сеанса управлении КА на рабочей станции управления загружается задача проведения сеанса управления из состава специального программного обеспечения планирования и командно-программного обеспечения. Эта задача обеспечивает выдачу управляющих 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воздействий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на КА, так и на задействованную в этом сеансе станцию КИС. На терминале этой рабочей станции отображается также информация о техническом состоянии и конфигурации аппаратуры этой станции КИС. Все статистические сведения о проведенных сеансах управления автоматически помещаются в Базу данных ЦУП.</w:t>
      </w:r>
    </w:p>
    <w:p w:rsidR="007B7726" w:rsidRPr="007B7726" w:rsidRDefault="007B7726" w:rsidP="007B772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По завершению сеанса управления, из ЦУП запрашивается отчетная информация станции КИС. Она содержит сведения о режимах работы аппаратуры, перечень принятых управляющих воздействий и т.п. и записываются в Базу данных ЦУП. Эти действия обеспечиваются задачей из состава специального программного обеспечения планирования и командно-программного обеспечения и могут выполняться с АРМ планирования или с рабочей станции управления из состава АРМ управления.</w:t>
      </w:r>
    </w:p>
    <w:p w:rsidR="007B7726" w:rsidRPr="007B7726" w:rsidRDefault="007B7726" w:rsidP="007B7726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Выборка статистической информации из Базы данных ЦУП и оформление ее в формате различных отчетных форм обеспечивается Информационно-справочной системой, входящей в состав специального программного обеспечения планирования и командно-программного обеспечения.</w:t>
      </w:r>
    </w:p>
    <w:p w:rsidR="007B7726" w:rsidRPr="007B7726" w:rsidRDefault="007B7726" w:rsidP="007B7726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Разработка структура информационно-вычислительного комплекса центра управления полетами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Проанализируем двухуровневую и трехуровневую архитектуру.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Двухуровневая архитектура</w:t>
      </w:r>
      <w:r w:rsidRPr="007B77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Логическая и физическая структура информационно-вычислительного комплекса (ИВК) центра управления полетов (ЦУП) двухуровневой архитектуры представляет собой набор элементов двух типов: приложений клиентов и серверов доступа к совместно используемым распределенным ресурсам системы [6…8]. Обобщенная архитектура вычислительной системы, построенной на основе двухуровневой технологии «клиент-сервер», представлена на рисунке 3. Недостатками данного подхода с точки зрения его применения при построении ИВК ЦУП являются: отсутствие возможности централизованного управления прикладным уровнем программного обеспечения и, как следствие, сложность организации автоматизированного режима функционирования программного обеспечения (ПО) ЦУП; двухуровневая технология «клиент-сервер» не позволяет реализовать требование к рациональному использованию интегральной вычислительной мощности ИВК; отсутствие централизованно распределяемого общего ресурса вычислительной мощности, что значительно снижает эксплуатационные характеристики и надежность системы, увеличивает ее стоимость; нерациональное распределение вычислительных ресурсов системы в целом – большая их часть сконцентрирована на рабочих станциях, обеспечивающих интерфейс с пользователем.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" w:name="_Ref259117202"/>
      <w:bookmarkEnd w:id="3"/>
      <w:r w:rsidRPr="007B77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3 – Обобщенная архитектура вычислительной системы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Преодоление вышеперечисленных недостатков двухуровневой реализации технологии «клиент-сервер» может быть достигнуто внесением еще одного уровня в архитектуру системы.</w:t>
      </w:r>
      <w:bookmarkStart w:id="4" w:name="_Toc422491446"/>
      <w:bookmarkStart w:id="5" w:name="_Toc260675540"/>
      <w:bookmarkStart w:id="6" w:name="_Toc259134866"/>
      <w:bookmarkEnd w:id="4"/>
      <w:bookmarkEnd w:id="5"/>
      <w:bookmarkEnd w:id="6"/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Трехуровневая архитектура</w:t>
      </w:r>
      <w:r w:rsidRPr="007B77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Обобщенная трехуровневая архитектура представлена на рисунке 3. В основу ее модели положен принцип, согласно которому декомпозиция больших сложных задач не только упрощает, но и ускоряет их выполнение. В трехуровневой, или многоуровневой, модели приложения делятся на подсистемы (сервисы), каждая из которых 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функционирует на отдельной машине. Как правило, существуют три группы подобных подсистем: для обслуживания пользователей (расположены на локальных рабочих станциях), для обслуживания приложений (выполняются на специализированных серверах приложений) и для обслуживания данных (размещены на серверах БД и называются также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репозиториями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данных).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Рисунок 4 – Трехуровневая архитектура «клиент – сервер»</w:t>
      </w:r>
    </w:p>
    <w:p w:rsidR="007B7726" w:rsidRPr="007B7726" w:rsidRDefault="007B7726" w:rsidP="007B7726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Эти службы могут работать как на индивидуальных серверах, так и на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мини-ЭВМ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и даже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мэйнфреймах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. Повышение производительности в рамках такой модели происходит за счет того, что серверы БД и приложений способны одновременно обрабатывать запросы сразу от нескольких приложений [9…13].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 трехуровневых информационно-телеметрических системах обработка, связанная с особенностями функционирования системы, выполняется не на клиентских машинах, а на специализированном сервере приложений. Таким образом, интерфейс пользователя, прикладные алгоритмы и работа с БД выделяются в три самостоятельных компонента. Каждый из них реализован на базе собственной программной и аппаратной архитектуры и выполняет свои определенные функции.</w:t>
      </w:r>
    </w:p>
    <w:p w:rsidR="007B7726" w:rsidRPr="007B7726" w:rsidRDefault="007B7726" w:rsidP="007B7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Как и в двухуровневых системах, интерфейс пользователя исполняется на недорогих однопользовательских настольных машинах. Серверы БД могут располагаться на серверах большой или средней мощности либо на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мэйнфреймах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. Прикладная обработка обычно переносится из нестабильной среды настольного компьютера в более надежный центр обработки данных. Анализ тенденций развития новых информационных технологий показывает, что данная технология является в настоящее время доминирующей при реализации сложных проектов, основанных на распределенной архитектуре построения вычислительной системы. Ее применение позволит избежать революционных изменений в процессе создания, развития и совершенствовании ЦУП.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7B7726" w:rsidRPr="007B7726" w:rsidRDefault="007B7726" w:rsidP="007B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72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Литература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Круглов А.В.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Радиообеспечение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пилотируемых полетов к Луне и Марсу // Успехи современной радиоэлектроники. Зарубежная радиоэлектроника. 2013. № 1. С. 033-040.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Валов С.Г. Оценка вычислительной эффективности реализации протокола транспортного уровня // Проектирование и технология электронных средств. 2013. № 2. с. 29-34.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Васильев Н.А. Основные проблемы практического внедрения 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ин-формационных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технологий // Мор-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ская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радиоэлектроника. 2011. № 4. С. 4-6.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Васильев Н.А. Теоретические основы обеспечения качества сложных технических систем. Основные научные проблемы качества // Морская радиоэлектроника. 2010. № 1. С. 28-33.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Вокин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Г.Г. Актуальные вопросы оценки качества и эффективности технологий использования космических систем двойного назначения в интересах сферы сервиса // Научно-технический журнал «Стратегическая стабильность». № 1. 2011.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Артюшенко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В.М. Оценка экономической </w:t>
      </w:r>
      <w:proofErr w:type="gram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эффективности использования автоматизированной системы распределения средств управления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космическими аппаратами в условиях ресурсных ограничений // Вестник поволжского государственного университета сервиса. Серия: Экономика. 2013. № 5 (31). С. 131–136.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Кучеров Б.А. Проектные решения для автоматизированной системы распределения средств управления космическими аппаратами // Информационно-технологический Вестник. № 3(05). 2015. С. 91-99.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Артюшенко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В.М. Повышение эффективности систем спутниковой связи путем оптимизации параметров земных станций // Радиотехника. 2015. № 2. С. 76-82.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Аббасова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Т.С. Информационное и программное обеспечение для тестирования производительности сетевых узлов территориально-распределенных центров обработки данных // Электротехнические и информационные комплексы и системы. </w:t>
      </w: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2010. № 3, 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.6. 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. 10-13.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10.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 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Artyushenko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V.M. Increasing Noise Immunity of Electric Communication Channels in High-speed Telecommunication Systems // </w:t>
      </w:r>
      <w:proofErr w:type="spellStart"/>
      <w:proofErr w:type="gramStart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Biosci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.,</w:t>
      </w:r>
      <w:proofErr w:type="gramEnd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Biotech. Res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Asia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.2014. 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Vol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. 11– </w:t>
      </w:r>
      <w:r w:rsidRPr="007B7726">
        <w:rPr>
          <w:rFonts w:ascii="Times New Roman" w:eastAsia="Times New Roman" w:hAnsi="Times New Roman" w:cs="Times New Roman"/>
          <w:color w:val="000000"/>
          <w:lang w:val="en-US" w:eastAsia="ru-RU"/>
        </w:rPr>
        <w:t>P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. 277-279.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Акимкина Э.Э. Архитектура системы поддержки принятия решений в задачах оперативного анализа данных // Фундаментальные и прикладные научные исследования: </w:t>
      </w: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сборник статей Международной научно-практической конференции (3 апреля 2016 г, г. Саранск). В 2 ч. Ч.2 // Уфа: МЦИИ ОМЕГА САЙНС. 2016. С. 6-10 (188 с.).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Аббасов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А.Э. Эффективность принятия решений в сложных технических системах // Новые информационные технологии в науке: сборник статей Международной научно-практической конференции (23 апреля 2016 г, г. Киров). В 2 ч. Ч.2 //Уфа: МЦИИ ОМЕГА САЙНС, 2016. С. 22-24. – (194 с.).</w:t>
      </w:r>
    </w:p>
    <w:p w:rsidR="007B7726" w:rsidRPr="007B7726" w:rsidRDefault="007B7726" w:rsidP="007B7726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Pr="007B772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proofErr w:type="spellStart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>Аббасов</w:t>
      </w:r>
      <w:proofErr w:type="spellEnd"/>
      <w:r w:rsidRPr="007B7726">
        <w:rPr>
          <w:rFonts w:ascii="Times New Roman" w:eastAsia="Times New Roman" w:hAnsi="Times New Roman" w:cs="Times New Roman"/>
          <w:color w:val="000000"/>
          <w:lang w:eastAsia="ru-RU"/>
        </w:rPr>
        <w:t xml:space="preserve"> А.Э. Оценка качества программного обеспечения для современных систем обработки информации // Информационно-технологический Вестник. № 3(05). 2015. С. 15-27.</w:t>
      </w:r>
    </w:p>
    <w:p w:rsidR="00985E92" w:rsidRDefault="00985E92"/>
    <w:sectPr w:rsidR="0098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27"/>
    <w:rsid w:val="007B7726"/>
    <w:rsid w:val="00985E92"/>
    <w:rsid w:val="00BF0272"/>
    <w:rsid w:val="00C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7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B7726"/>
  </w:style>
  <w:style w:type="paragraph" w:customStyle="1" w:styleId="style1">
    <w:name w:val="style1"/>
    <w:basedOn w:val="a"/>
    <w:rsid w:val="007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7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7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7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B7726"/>
  </w:style>
  <w:style w:type="paragraph" w:customStyle="1" w:styleId="style1">
    <w:name w:val="style1"/>
    <w:basedOn w:val="a"/>
    <w:rsid w:val="007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7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B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7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Екатерина Вячеславовна</dc:creator>
  <cp:lastModifiedBy>User</cp:lastModifiedBy>
  <cp:revision>2</cp:revision>
  <dcterms:created xsi:type="dcterms:W3CDTF">2018-04-22T05:03:00Z</dcterms:created>
  <dcterms:modified xsi:type="dcterms:W3CDTF">2018-04-22T05:03:00Z</dcterms:modified>
</cp:coreProperties>
</file>